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7f3f79f60a47e1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49333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O.Š. NOVO ČIČE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2.494.679,11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2.749.337,81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2.420.224,36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2.731.976,03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74.454,75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17.361,78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23,3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72.934,47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39.034,27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72.934,47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39.034,27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53,5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21.672,49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Osnovna škola Novo Čiče javna je ustanova koja obavlja djelatnost osnovnog odgoja i obrazovanja te posluje sukladno Zakonu o ustanovama (NN 76/93,29/9747/99,35/08, 127/19, 151/22) i donesenom Statutu. Ukupni prihodi poslovanja veći su za 10,20%  u odnosu na prethodno razdoblje ponajviše osiguranim sredstvima iz Državnog proračuna za povećanje osnovice zaposlenika u javnim službama. Ostali prihodi ostali su na prošlogodišnjoj razini. Ukupni rashodi poslovanja povećani su za 13,00 indeksnih poena u odnosu na prošlu godinu zbog povećanih materijalnih prava radnika. Ostatak rashodovne strane je u pravilu manji  u odnosu na promatrano razdoblje prethodne godine. Ukupni rashodi za nabavu nefinancijske imovine prvenstveno potrebne opreme dovode do manjka od 39.034,27€. Kad se navedenom manjku pridoda manjak od poslovanja dolazimo do iznosa manjka rezultata Osnovne škole Novo Čiče za 2025. godini u iznosu od 21.672,49€.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 (šifre 6361+6362)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1.893.927,69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2.174.403,65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114,8</w:t>
            </w:r>
          </w:p>
        </w:tc>
      </w:tr>
    </w:tbl>
    <w:p>
      <w:pPr>
        <w:spacing w:before="0" w:after="0"/>
      </w:pPr>
    </w:p>
    <w:p>
      <w:r>
        <w:t xml:space="preserve">Povećana sredstva uslijed rasta osnovice za zaposlene.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 (šifre 6614+6615)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13.882,37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4.914,25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35,4</w:t>
            </w:r>
          </w:p>
        </w:tc>
      </w:tr>
    </w:tbl>
    <w:p>
      <w:pPr>
        <w:spacing w:before="0" w:after="0"/>
      </w:pPr>
    </w:p>
    <w:p>
      <w:r>
        <w:t xml:space="preserve">Naplata prihoda za iznajmljivanje školskog prostora je smanjena u odnosu na prethodnu godinu zbog nepravovremenog izdavanja faktura uslijed nedostatka djelatnika u računovodstvenoj službi.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3.264,06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29,7</w:t>
            </w:r>
          </w:p>
        </w:tc>
      </w:tr>
    </w:tbl>
    <w:p>
      <w:pPr>
        <w:spacing w:before="0" w:after="0"/>
      </w:pPr>
    </w:p>
    <w:p>
      <w:r>
        <w:t xml:space="preserve">Kod organizacije terenske nastave pojedine agencije pokrivaju dnevnice učiteljima te nam isto uplaćuju kao donaciju. Iznos ovogodišnjih uplata je manji u odnosu na prošlu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2.420.224,36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2.731.976,03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112,9</w:t>
            </w:r>
          </w:p>
        </w:tc>
      </w:tr>
    </w:tbl>
    <w:p>
      <w:pPr>
        <w:spacing w:before="0" w:after="0"/>
      </w:pPr>
    </w:p>
    <w:p>
      <w:r>
        <w:t xml:space="preserve">Ukupni rashodi su u porastu za 13% te automatizmom prate povećanje osnovice zaposlenika, međutim ostatak rashodovne strane praktički je na istoj ili manjoj razini u odnosu na prethodnu godinu prema indeksnim poenima za pojedine stavke rashoda.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prekovremeni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12.060,67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25.107,69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208,2</w:t>
            </w:r>
          </w:p>
        </w:tc>
      </w:tr>
    </w:tbl>
    <w:p>
      <w:pPr>
        <w:spacing w:before="0" w:after="0"/>
      </w:pPr>
    </w:p>
    <w:p>
      <w:r>
        <w:t xml:space="preserve">Povećanje prekovremenih sati nije stvarni odraz povećanja količine sati već nedostatak kvalitetnog praćenja i knjiženja istih kroz promatrana razdoblja.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12.095,98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19.652,68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162,5</w:t>
            </w:r>
          </w:p>
        </w:tc>
      </w:tr>
    </w:tbl>
    <w:p>
      <w:pPr>
        <w:spacing w:before="0" w:after="0"/>
      </w:pPr>
    </w:p>
    <w:p>
      <w:r>
        <w:t xml:space="preserve">Servis toplovodnih kotlova, ispitivanje instalacija kao i intervencija u kotlovnici utjecali su na porast navedene poziciju tekućeg i investicijskog održavanja.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3.191,48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6.046,85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189,5</w:t>
            </w:r>
          </w:p>
        </w:tc>
      </w:tr>
    </w:tbl>
    <w:p>
      <w:pPr>
        <w:spacing w:before="0" w:after="0"/>
      </w:pPr>
    </w:p>
    <w:p>
      <w:r>
        <w:t xml:space="preserve">Pojačan angažman vezan uz zamjenu osoblja u računovodstvenoj službi kao i procjena postojećeg stanja sigurnosti imaju najveći učinak na navedeni konto intelektualnih i osobnih usluga u odnosu na prethodnu godinu.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499,50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9.154,70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1832,8</w:t>
            </w:r>
          </w:p>
        </w:tc>
      </w:tr>
    </w:tbl>
    <w:p>
      <w:pPr>
        <w:spacing w:before="0" w:after="0"/>
      </w:pPr>
    </w:p>
    <w:p>
      <w:r>
        <w:t xml:space="preserve">Knjiženje troška CRV Riviera - škola u prirodi predstavljaju značajan rast u odnosu na prethodno razdoblje.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61.644,86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83.317,35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135,2</w:t>
            </w:r>
          </w:p>
        </w:tc>
      </w:tr>
    </w:tbl>
    <w:p>
      <w:pPr>
        <w:spacing w:before="0" w:after="0"/>
      </w:pPr>
    </w:p>
    <w:p>
      <w:r>
        <w:t xml:space="preserve">Ukupni manjak prihoda i primitaka najvećim djelom je rezultat prenesenih manjkova nefinancijske imovine ranijih razdoblja.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jamčevne pologe, od zaposlenih te za više plaćene poreze i ostalo (šifre 122 do 124 - 125 + 129)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9.360,16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22.724,92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242,8</w:t>
            </w:r>
          </w:p>
        </w:tc>
      </w:tr>
    </w:tbl>
    <w:p>
      <w:pPr>
        <w:spacing w:before="0" w:after="0"/>
      </w:pPr>
    </w:p>
    <w:p>
      <w:r>
        <w:t xml:space="preserve">Navedeni porast prvenstveno je utjecaj ispravnog evidentiranja bolovanja u poslovne knjige.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9.026,29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22.724,92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251,8</w:t>
            </w:r>
          </w:p>
        </w:tc>
      </w:tr>
    </w:tbl>
    <w:p>
      <w:pPr>
        <w:spacing w:before="0" w:after="0"/>
      </w:pPr>
    </w:p>
    <w:p>
      <w:r>
        <w:t xml:space="preserve">Račun 27 i povećanje također su odraz evidentiranja bolovanja na pripadajućem kontu unutar navedene skupine.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-61.644,86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-83.317,35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135,2</w:t>
            </w:r>
          </w:p>
        </w:tc>
      </w:tr>
    </w:tbl>
    <w:p>
      <w:pPr>
        <w:spacing w:before="0" w:after="0"/>
      </w:pPr>
    </w:p>
    <w:p>
      <w:r>
        <w:t xml:space="preserve">Manjak rezultata ranije objašnjen te u istom iznosu evidentiran u bilanci.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Međusobne obveze subjekata općeg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13.149,72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Evidentirano stanje međusobnih obveza koje se odnosi prvenstveno kroz bolovanja na tere Hzzo-a izvor 9.2.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Međusobne obveze subjekata općeg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na ovom kontu odraz je manjka kontinuiteta u računovodstvenoj službi i podnesenim zahtjevima za refundaciju sredstava od strane Hzzo-a.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184.223,83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Povećano stanje obveza na kraju izvještajnog razdoblja u odnosu na početak godine za 53,96% također kao posljedica povećanja materijalnih prava radnika.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84.044,53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izvještajnog razdoblja odnosi se na dio računa iz računskog plana 232 u iznosu od 39.525,35€ te na dio 272 u iznosu od 44.519,18€. Navedeno predstavljaju zahtjevi poslani u riznicu; Z-186, 199, 200, 202-204, 211-212, 219 te zahtjev 224.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Međusobne obveze subjekata općeg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22.068,28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Navedeni iznos predstavlja saldo vezan uz ranije spomenutu refundaciju sredstava na izvoru 9.2. od strane Hzzo-a.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656,64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refundacije sredstava za bolovanje na teret Hzzo-a kroz izvor 1.1.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Evidentirana sredstva za operativnu provedbu Školske sheme temeljem Pravilnika o provedbi Školske sheme prema kojoj račune za isporučene proizvode dobavljači ispostavljaju školama koje moraju osigurati sredstva za pokriće obveza a Agencija za plaćanje naknadno refundira sredstva.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39cd2da9dd4250" /></Relationships>
</file>